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0D0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4"/>
      </w:tblGrid>
      <w:tr w:rsidR="00182202" w14:paraId="5AA669CE" w14:textId="77777777" w:rsidTr="00A032C0">
        <w:trPr>
          <w:trHeight w:val="1411"/>
          <w:jc w:val="center"/>
        </w:trPr>
        <w:tc>
          <w:tcPr>
            <w:tcW w:w="11254" w:type="dxa"/>
            <w:shd w:val="clear" w:color="auto" w:fill="FF0D0D"/>
            <w:noWrap/>
            <w:tcMar>
              <w:left w:w="227" w:type="dxa"/>
              <w:bottom w:w="0" w:type="dxa"/>
              <w:right w:w="28" w:type="dxa"/>
            </w:tcMar>
            <w:vAlign w:val="center"/>
          </w:tcPr>
          <w:p w14:paraId="15BBA49A" w14:textId="4F9A1978" w:rsidR="00182202" w:rsidRPr="00813692" w:rsidRDefault="00182202" w:rsidP="00182202">
            <w:pPr>
              <w:jc w:val="center"/>
            </w:pPr>
            <w:r w:rsidRPr="000E4222">
              <w:rPr>
                <w:noProof/>
              </w:rPr>
              <w:drawing>
                <wp:inline distT="0" distB="0" distL="0" distR="0" wp14:anchorId="1869ACDB" wp14:editId="778C1186">
                  <wp:extent cx="3226258" cy="893135"/>
                  <wp:effectExtent l="19050" t="0" r="0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367" cy="89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C0" w14:paraId="5A547BAD" w14:textId="77777777" w:rsidTr="00A032C0">
        <w:trPr>
          <w:trHeight w:val="8503"/>
          <w:jc w:val="center"/>
        </w:trPr>
        <w:tc>
          <w:tcPr>
            <w:tcW w:w="11254" w:type="dxa"/>
            <w:shd w:val="clear" w:color="auto" w:fill="FF0D0D"/>
            <w:noWrap/>
            <w:tcMar>
              <w:left w:w="57" w:type="dxa"/>
              <w:bottom w:w="0" w:type="dxa"/>
              <w:right w:w="113" w:type="dxa"/>
            </w:tcMar>
            <w:vAlign w:val="center"/>
          </w:tcPr>
          <w:p w14:paraId="3D35F713" w14:textId="56BC41B5" w:rsidR="00A032C0" w:rsidRPr="00813692" w:rsidRDefault="00A032C0" w:rsidP="000A43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E5AF2AD" wp14:editId="7C42685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314960</wp:posOffset>
                  </wp:positionV>
                  <wp:extent cx="6762750" cy="4508500"/>
                  <wp:effectExtent l="0" t="0" r="0" b="6350"/>
                  <wp:wrapNone/>
                  <wp:docPr id="4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0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198BA3" w14:textId="34DC9A34" w:rsidR="000E4222" w:rsidRDefault="000E422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E4222" w:rsidRPr="00034580" w14:paraId="509C161A" w14:textId="77777777" w:rsidTr="00154985">
        <w:trPr>
          <w:jc w:val="center"/>
        </w:trPr>
        <w:tc>
          <w:tcPr>
            <w:tcW w:w="10773" w:type="dxa"/>
          </w:tcPr>
          <w:p w14:paraId="4087742F" w14:textId="12D1E9BC" w:rsidR="000E4222" w:rsidRDefault="000E4222" w:rsidP="00120250">
            <w:pPr>
              <w:jc w:val="center"/>
              <w:rPr>
                <w:rFonts w:cs="Tahoma"/>
                <w:b/>
                <w:sz w:val="44"/>
                <w:szCs w:val="44"/>
              </w:rPr>
            </w:pPr>
            <w:r w:rsidRPr="00FD41B2">
              <w:rPr>
                <w:rFonts w:cs="Tahoma"/>
                <w:b/>
                <w:sz w:val="44"/>
                <w:szCs w:val="44"/>
              </w:rPr>
              <w:t>£</w:t>
            </w:r>
            <w:r w:rsidR="00C215B2">
              <w:rPr>
                <w:rFonts w:cs="Tahoma"/>
                <w:b/>
                <w:sz w:val="44"/>
                <w:szCs w:val="44"/>
              </w:rPr>
              <w:t>125,000 (25% OF £</w:t>
            </w:r>
            <w:proofErr w:type="gramStart"/>
            <w:r w:rsidR="00C215B2">
              <w:rPr>
                <w:rFonts w:cs="Tahoma"/>
                <w:b/>
                <w:sz w:val="44"/>
                <w:szCs w:val="44"/>
              </w:rPr>
              <w:t>500,000 )</w:t>
            </w:r>
            <w:proofErr w:type="gramEnd"/>
          </w:p>
          <w:p w14:paraId="4D0EECB7" w14:textId="0F2C9FE3" w:rsidR="003F5ABC" w:rsidRPr="00FD41B2" w:rsidRDefault="00C215B2" w:rsidP="00C215B2">
            <w:pPr>
              <w:jc w:val="center"/>
              <w:rPr>
                <w:rFonts w:cs="Tahoma"/>
                <w:b/>
                <w:sz w:val="44"/>
                <w:szCs w:val="44"/>
              </w:rPr>
            </w:pPr>
            <w:r>
              <w:rPr>
                <w:rFonts w:cs="Tahoma"/>
                <w:b/>
                <w:sz w:val="44"/>
                <w:szCs w:val="44"/>
              </w:rPr>
              <w:t>PART SHARE’S AVAILABLE, THE GROVE WADHURST</w:t>
            </w:r>
          </w:p>
        </w:tc>
      </w:tr>
    </w:tbl>
    <w:p w14:paraId="6BEE84D1" w14:textId="77777777" w:rsidR="00C215B2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val="en-GB" w:eastAsia="en-GB"/>
        </w:rPr>
      </w:pPr>
    </w:p>
    <w:p w14:paraId="1D927DB6" w14:textId="56934107" w:rsidR="00C215B2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</w:pPr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PART SHARE - MINIMUM SHARE 25% Eastbourne Property Shop is delighted to offer to the market </w:t>
      </w:r>
      <w:proofErr w:type="gramStart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two part</w:t>
      </w:r>
      <w:proofErr w:type="gram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 share properties in the popular village of Wadhurst. Built by </w:t>
      </w:r>
      <w:proofErr w:type="spellStart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Greymoor</w:t>
      </w:r>
      <w:proofErr w:type="spell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 homes, accommodation comprises of lounge, modern fitted kitchen/diner with built-in appliances, and downstairs </w:t>
      </w:r>
      <w:proofErr w:type="spellStart"/>
      <w:proofErr w:type="gramStart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w,c</w:t>
      </w:r>
      <w:proofErr w:type="spell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,.</w:t>
      </w:r>
      <w:proofErr w:type="gram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 Upstairs the property benefits from three good size bedrooms and a modern fitted family bathroom. Further benefits include front and rear gardens and off-road parking.</w:t>
      </w:r>
    </w:p>
    <w:p w14:paraId="17ED75DA" w14:textId="77777777" w:rsidR="00C215B2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</w:pPr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£125,000 for 25 % share</w:t>
      </w:r>
    </w:p>
    <w:p w14:paraId="0BCEF1A8" w14:textId="669EB0C0" w:rsidR="00C215B2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</w:pPr>
      <w:proofErr w:type="gramStart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( CGI</w:t>
      </w:r>
      <w:proofErr w:type="gram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 courtesy of </w:t>
      </w:r>
      <w:proofErr w:type="spellStart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Greymoor</w:t>
      </w:r>
      <w:proofErr w:type="spellEnd"/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 xml:space="preserve"> Homes )</w:t>
      </w:r>
    </w:p>
    <w:p w14:paraId="1D197C1F" w14:textId="5FE1A65B" w:rsidR="00C215B2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</w:pPr>
      <w:r w:rsidRPr="00C215B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GB" w:eastAsia="en-GB"/>
        </w:rPr>
        <w:t>Call today for further information 01323 764122</w:t>
      </w:r>
    </w:p>
    <w:p w14:paraId="75BB6CAD" w14:textId="56C554FD" w:rsidR="00C215B2" w:rsidRPr="00C215B2" w:rsidRDefault="00000000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val="en-GB" w:eastAsia="en-GB"/>
        </w:rPr>
      </w:pPr>
      <w:hyperlink r:id="rId12" w:tgtFrame="_blank" w:history="1">
        <w:r w:rsidR="00C215B2" w:rsidRPr="00C215B2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lang w:val="en-GB" w:eastAsia="en-GB"/>
          </w:rPr>
          <w:t>www.eastbournepropertyshop.co.uk</w:t>
        </w:r>
      </w:hyperlink>
    </w:p>
    <w:p w14:paraId="1CE50125" w14:textId="6B5A5143" w:rsidR="00011876" w:rsidRPr="00C215B2" w:rsidRDefault="00C215B2" w:rsidP="00C215B2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75A84B" wp14:editId="443C2F4D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818558" cy="442595"/>
            <wp:effectExtent l="0" t="0" r="635" b="0"/>
            <wp:wrapNone/>
            <wp:docPr id="19" name="Picture 19" descr="TREE PRESERVATION ORDERS SURGERY TPOs LUMBERJACKS FELLING REMOVAL NAZ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PRESERVATION ORDERS SURGERY TPOs LUMBERJACKS FELLING REMOVAL NAZ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58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876" w:rsidRPr="00C215B2" w:rsidSect="00E155C3">
      <w:footerReference w:type="default" r:id="rId14"/>
      <w:pgSz w:w="11907" w:h="16840" w:code="9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38D9" w14:textId="77777777" w:rsidR="00F63FFE" w:rsidRDefault="00F63FFE" w:rsidP="00054547">
      <w:pPr>
        <w:spacing w:after="0" w:line="240" w:lineRule="auto"/>
      </w:pPr>
      <w:r>
        <w:separator/>
      </w:r>
    </w:p>
  </w:endnote>
  <w:endnote w:type="continuationSeparator" w:id="0">
    <w:p w14:paraId="57D5D735" w14:textId="77777777" w:rsidR="00F63FFE" w:rsidRDefault="00F63FFE" w:rsidP="0005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36B2" w14:textId="77777777" w:rsidR="00054547" w:rsidRPr="002B41BB" w:rsidRDefault="00E155C3" w:rsidP="00E155C3">
    <w:pPr>
      <w:pStyle w:val="Footer"/>
      <w:jc w:val="center"/>
    </w:pPr>
    <w:r w:rsidRPr="00E155C3">
      <w:rPr>
        <w:b/>
      </w:rPr>
      <w:t xml:space="preserve">7 </w:t>
    </w:r>
    <w:proofErr w:type="spellStart"/>
    <w:r w:rsidRPr="00E155C3">
      <w:rPr>
        <w:b/>
      </w:rPr>
      <w:t>Mimram</w:t>
    </w:r>
    <w:proofErr w:type="spellEnd"/>
    <w:r w:rsidRPr="00E155C3">
      <w:rPr>
        <w:b/>
      </w:rPr>
      <w:t xml:space="preserve"> Road, Stone Cross, Pevensey, East Sussex, BN24 5D</w:t>
    </w:r>
    <w:r w:rsidRPr="00E155C3">
      <w:rPr>
        <w:b/>
      </w:rPr>
      <w:br/>
      <w:t xml:space="preserve">T: 01323 764122   F: 01323 461847 E: </w:t>
    </w:r>
    <w:hyperlink r:id="rId1" w:history="1">
      <w:r w:rsidRPr="00E155C3">
        <w:rPr>
          <w:rStyle w:val="Hyperlink"/>
          <w:b/>
          <w:color w:val="auto"/>
        </w:rPr>
        <w:t>info@eastbournepropertyshop.co.uk</w:t>
      </w:r>
    </w:hyperlink>
    <w:r w:rsidRPr="00E155C3">
      <w:rPr>
        <w:b/>
      </w:rPr>
      <w:t xml:space="preserve"> www.eastbournepropertyshop.co.uk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DEC5" w14:textId="77777777" w:rsidR="00F63FFE" w:rsidRDefault="00F63FFE" w:rsidP="00054547">
      <w:pPr>
        <w:spacing w:after="0" w:line="240" w:lineRule="auto"/>
      </w:pPr>
      <w:r>
        <w:separator/>
      </w:r>
    </w:p>
  </w:footnote>
  <w:footnote w:type="continuationSeparator" w:id="0">
    <w:p w14:paraId="7F80A744" w14:textId="77777777" w:rsidR="00F63FFE" w:rsidRDefault="00F63FFE" w:rsidP="00054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22"/>
    <w:rsid w:val="000006D9"/>
    <w:rsid w:val="00011876"/>
    <w:rsid w:val="00034580"/>
    <w:rsid w:val="00035284"/>
    <w:rsid w:val="000400A7"/>
    <w:rsid w:val="00054547"/>
    <w:rsid w:val="00073D0B"/>
    <w:rsid w:val="000A437F"/>
    <w:rsid w:val="000E22C2"/>
    <w:rsid w:val="000E4222"/>
    <w:rsid w:val="000E50B5"/>
    <w:rsid w:val="00120250"/>
    <w:rsid w:val="00142B6B"/>
    <w:rsid w:val="00154985"/>
    <w:rsid w:val="00170807"/>
    <w:rsid w:val="001762BA"/>
    <w:rsid w:val="00182202"/>
    <w:rsid w:val="00190A76"/>
    <w:rsid w:val="00195C20"/>
    <w:rsid w:val="002559BD"/>
    <w:rsid w:val="002701AC"/>
    <w:rsid w:val="0027147C"/>
    <w:rsid w:val="002716B6"/>
    <w:rsid w:val="00275D3B"/>
    <w:rsid w:val="002872FA"/>
    <w:rsid w:val="002B41BB"/>
    <w:rsid w:val="002D3685"/>
    <w:rsid w:val="00326F33"/>
    <w:rsid w:val="00335774"/>
    <w:rsid w:val="00353F6A"/>
    <w:rsid w:val="003707DD"/>
    <w:rsid w:val="003D227F"/>
    <w:rsid w:val="003F5ABC"/>
    <w:rsid w:val="003F7A97"/>
    <w:rsid w:val="00423F71"/>
    <w:rsid w:val="00447716"/>
    <w:rsid w:val="00456326"/>
    <w:rsid w:val="00473EB3"/>
    <w:rsid w:val="004C1033"/>
    <w:rsid w:val="004F5B9E"/>
    <w:rsid w:val="00526579"/>
    <w:rsid w:val="00557D80"/>
    <w:rsid w:val="005626D7"/>
    <w:rsid w:val="00582F01"/>
    <w:rsid w:val="005C752C"/>
    <w:rsid w:val="005D2C88"/>
    <w:rsid w:val="0060721E"/>
    <w:rsid w:val="00615E24"/>
    <w:rsid w:val="006328E4"/>
    <w:rsid w:val="006574BF"/>
    <w:rsid w:val="00667767"/>
    <w:rsid w:val="00672B7F"/>
    <w:rsid w:val="006A42D9"/>
    <w:rsid w:val="006E3A70"/>
    <w:rsid w:val="006E71CF"/>
    <w:rsid w:val="006F3AD2"/>
    <w:rsid w:val="00757EB2"/>
    <w:rsid w:val="00767B76"/>
    <w:rsid w:val="007C6DDB"/>
    <w:rsid w:val="007E382E"/>
    <w:rsid w:val="00813692"/>
    <w:rsid w:val="0082435A"/>
    <w:rsid w:val="00843F99"/>
    <w:rsid w:val="00874A7C"/>
    <w:rsid w:val="008761E8"/>
    <w:rsid w:val="008820A7"/>
    <w:rsid w:val="00894B49"/>
    <w:rsid w:val="008963EA"/>
    <w:rsid w:val="00897090"/>
    <w:rsid w:val="008A50E7"/>
    <w:rsid w:val="00905C6F"/>
    <w:rsid w:val="00922AEB"/>
    <w:rsid w:val="009345F0"/>
    <w:rsid w:val="009853EB"/>
    <w:rsid w:val="00996CCF"/>
    <w:rsid w:val="009D6110"/>
    <w:rsid w:val="00A032C0"/>
    <w:rsid w:val="00A05D17"/>
    <w:rsid w:val="00A3246F"/>
    <w:rsid w:val="00AC042C"/>
    <w:rsid w:val="00B82568"/>
    <w:rsid w:val="00BC5C9D"/>
    <w:rsid w:val="00BD19CC"/>
    <w:rsid w:val="00BD27F9"/>
    <w:rsid w:val="00BD376A"/>
    <w:rsid w:val="00C215B2"/>
    <w:rsid w:val="00C21CEC"/>
    <w:rsid w:val="00C35CFD"/>
    <w:rsid w:val="00C4466A"/>
    <w:rsid w:val="00C54415"/>
    <w:rsid w:val="00CA1A4C"/>
    <w:rsid w:val="00CA5CB1"/>
    <w:rsid w:val="00CC5733"/>
    <w:rsid w:val="00CD3BF1"/>
    <w:rsid w:val="00CD6C23"/>
    <w:rsid w:val="00D01446"/>
    <w:rsid w:val="00D34123"/>
    <w:rsid w:val="00D43CAA"/>
    <w:rsid w:val="00D519BB"/>
    <w:rsid w:val="00D77C73"/>
    <w:rsid w:val="00D860D7"/>
    <w:rsid w:val="00DD23EE"/>
    <w:rsid w:val="00DD2A02"/>
    <w:rsid w:val="00DE50A8"/>
    <w:rsid w:val="00DE7D11"/>
    <w:rsid w:val="00E155C3"/>
    <w:rsid w:val="00E21B3F"/>
    <w:rsid w:val="00E42756"/>
    <w:rsid w:val="00E64EA0"/>
    <w:rsid w:val="00EC0E24"/>
    <w:rsid w:val="00EE1A2E"/>
    <w:rsid w:val="00EF09AA"/>
    <w:rsid w:val="00F17A85"/>
    <w:rsid w:val="00F3163F"/>
    <w:rsid w:val="00F3628C"/>
    <w:rsid w:val="00F63FFE"/>
    <w:rsid w:val="00F747CD"/>
    <w:rsid w:val="00FD41B2"/>
    <w:rsid w:val="00FD552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AA40A"/>
  <w15:docId w15:val="{E1B118DB-D610-48E4-8459-1FAE318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47"/>
  </w:style>
  <w:style w:type="paragraph" w:styleId="Footer">
    <w:name w:val="footer"/>
    <w:basedOn w:val="Normal"/>
    <w:link w:val="FooterChar"/>
    <w:uiPriority w:val="99"/>
    <w:unhideWhenUsed/>
    <w:rsid w:val="0005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47"/>
  </w:style>
  <w:style w:type="character" w:styleId="Hyperlink">
    <w:name w:val="Hyperlink"/>
    <w:basedOn w:val="DefaultParagraphFont"/>
    <w:uiPriority w:val="99"/>
    <w:semiHidden/>
    <w:unhideWhenUsed/>
    <w:rsid w:val="0005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stbournepropertyshop.co.uk/?fbclid=IwAR2wo3iQmBqEDcFMHlww5zioMOg-Qhv-zJD4wkMGv7gfcYkleRbVD1YIqA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stbournepropertysho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5C59BFEC948BB37E9F033CCDB4B" ma:contentTypeVersion="16" ma:contentTypeDescription="Create a new document." ma:contentTypeScope="" ma:versionID="60a99483f76bd277b0ec93d7f074b0bf">
  <xsd:schema xmlns:xsd="http://www.w3.org/2001/XMLSchema" xmlns:xs="http://www.w3.org/2001/XMLSchema" xmlns:p="http://schemas.microsoft.com/office/2006/metadata/properties" xmlns:ns2="0d134024-7812-4630-a8d7-524b41abb4bf" xmlns:ns3="a6bb7572-bbe3-4f23-ae9a-6d613b370de7" targetNamespace="http://schemas.microsoft.com/office/2006/metadata/properties" ma:root="true" ma:fieldsID="73121260c50f26aa49574c12b6e2dc71" ns2:_="" ns3:_="">
    <xsd:import namespace="0d134024-7812-4630-a8d7-524b41abb4bf"/>
    <xsd:import namespace="a6bb7572-bbe3-4f23-ae9a-6d613b370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34024-7812-4630-a8d7-524b41abb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4fba98-8b00-4003-98f6-e0dd372a7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7572-bbe3-4f23-ae9a-6d613b370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70d45b-41d8-4456-b137-81b9ddf513dd}" ma:internalName="TaxCatchAll" ma:showField="CatchAllData" ma:web="a6bb7572-bbe3-4f23-ae9a-6d613b370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134024-7812-4630-a8d7-524b41abb4bf">
      <Terms xmlns="http://schemas.microsoft.com/office/infopath/2007/PartnerControls"/>
    </lcf76f155ced4ddcb4097134ff3c332f>
    <TaxCatchAll xmlns="a6bb7572-bbe3-4f23-ae9a-6d613b370de7" xsi:nil="true"/>
  </documentManagement>
</p:properties>
</file>

<file path=customXml/itemProps1.xml><?xml version="1.0" encoding="utf-8"?>
<ds:datastoreItem xmlns:ds="http://schemas.openxmlformats.org/officeDocument/2006/customXml" ds:itemID="{1EFB7F97-C248-4D97-BC4E-999DD51E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AD190-B996-46E8-9141-8C0B29264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34024-7812-4630-a8d7-524b41abb4bf"/>
    <ds:schemaRef ds:uri="a6bb7572-bbe3-4f23-ae9a-6d613b37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F7B44-A383-49E3-90AD-1CFB573E2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58777-B37F-438B-8BAC-64A904A4E3BC}">
  <ds:schemaRefs>
    <ds:schemaRef ds:uri="http://schemas.microsoft.com/office/2006/metadata/properties"/>
    <ds:schemaRef ds:uri="http://schemas.microsoft.com/office/infopath/2007/PartnerControls"/>
    <ds:schemaRef ds:uri="0d134024-7812-4630-a8d7-524b41abb4bf"/>
    <ds:schemaRef ds:uri="a6bb7572-bbe3-4f23-ae9a-6d613b370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RFO</cp:lastModifiedBy>
  <cp:revision>2</cp:revision>
  <cp:lastPrinted>2023-02-07T16:42:00Z</cp:lastPrinted>
  <dcterms:created xsi:type="dcterms:W3CDTF">2023-02-08T08:43:00Z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0x010100FBA0C5C59BFEC948BB37E9F033CCDB4B</vt:lpwstr>
  </property>
  <property fmtid="{D5CDD505-2E9C-101B-9397-08002B2CF9AE}" pid="3" name="GrammarlyDocumentId">
    <vt:lpwstr>4019e01179339460622169122028748b010cb61bee0af433d0767bfcd5d18f06</vt:lpwstr>
  </property>
</Properties>
</file>